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93" w:rsidRPr="00AA1616" w:rsidRDefault="000E0193" w:rsidP="00AA161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E0193" w:rsidRDefault="000E0193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0E0193" w:rsidRPr="00AA1616" w:rsidRDefault="00AA1616" w:rsidP="00AA16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D4D4D"/>
          <w:sz w:val="24"/>
        </w:rPr>
      </w:pPr>
      <w:r w:rsidRPr="00AA1616">
        <w:rPr>
          <w:rFonts w:ascii="Times New Roman" w:eastAsia="Times New Roman" w:hAnsi="Times New Roman" w:cs="Times New Roman"/>
          <w:b/>
          <w:color w:val="4D4D4D"/>
          <w:sz w:val="24"/>
        </w:rPr>
        <w:t>"Утверждено"</w:t>
      </w:r>
    </w:p>
    <w:p w:rsidR="00AA1616" w:rsidRDefault="00AA1616" w:rsidP="00AA1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4"/>
        </w:rPr>
      </w:pPr>
      <w:r>
        <w:rPr>
          <w:rFonts w:ascii="Times New Roman" w:eastAsia="Times New Roman" w:hAnsi="Times New Roman" w:cs="Times New Roman"/>
          <w:color w:val="4D4D4D"/>
          <w:sz w:val="24"/>
        </w:rPr>
        <w:t xml:space="preserve">Внеочередным общим собранием </w:t>
      </w:r>
    </w:p>
    <w:p w:rsidR="000E0193" w:rsidRDefault="00AA1616" w:rsidP="00AA1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4"/>
        </w:rPr>
      </w:pPr>
      <w:r>
        <w:rPr>
          <w:rFonts w:ascii="Times New Roman" w:eastAsia="Times New Roman" w:hAnsi="Times New Roman" w:cs="Times New Roman"/>
          <w:color w:val="4D4D4D"/>
          <w:sz w:val="24"/>
        </w:rPr>
        <w:t>СРО Союз "Охрана"</w:t>
      </w:r>
    </w:p>
    <w:p w:rsidR="00AA1616" w:rsidRDefault="006E1F78" w:rsidP="00AA1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4"/>
        </w:rPr>
      </w:pPr>
      <w:r>
        <w:rPr>
          <w:rFonts w:ascii="Times New Roman" w:eastAsia="Times New Roman" w:hAnsi="Times New Roman" w:cs="Times New Roman"/>
          <w:color w:val="4D4D4D"/>
          <w:sz w:val="24"/>
        </w:rPr>
        <w:t>(</w:t>
      </w:r>
      <w:r w:rsidR="00AA1616">
        <w:rPr>
          <w:rFonts w:ascii="Times New Roman" w:eastAsia="Times New Roman" w:hAnsi="Times New Roman" w:cs="Times New Roman"/>
          <w:color w:val="4D4D4D"/>
          <w:sz w:val="24"/>
        </w:rPr>
        <w:t>Протокол 4/2020 от 29.04.2020 г.</w:t>
      </w:r>
      <w:r>
        <w:rPr>
          <w:rFonts w:ascii="Times New Roman" w:eastAsia="Times New Roman" w:hAnsi="Times New Roman" w:cs="Times New Roman"/>
          <w:color w:val="4D4D4D"/>
          <w:sz w:val="24"/>
        </w:rPr>
        <w:t>)</w:t>
      </w:r>
      <w:bookmarkStart w:id="0" w:name="_GoBack"/>
      <w:bookmarkEnd w:id="0"/>
    </w:p>
    <w:p w:rsidR="000E0193" w:rsidRDefault="00AA1616">
      <w:pPr>
        <w:spacing w:before="100" w:after="60" w:line="240" w:lineRule="auto"/>
        <w:jc w:val="both"/>
        <w:rPr>
          <w:rFonts w:ascii="Times New Roman" w:eastAsia="Times New Roman" w:hAnsi="Times New Roman" w:cs="Times New Roman"/>
          <w:color w:val="4D4D4D"/>
          <w:sz w:val="24"/>
        </w:rPr>
      </w:pPr>
      <w:r>
        <w:rPr>
          <w:rFonts w:ascii="Times New Roman" w:eastAsia="Times New Roman" w:hAnsi="Times New Roman" w:cs="Times New Roman"/>
          <w:color w:val="4D4D4D"/>
          <w:sz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4D4D4D"/>
          <w:sz w:val="24"/>
        </w:rPr>
        <w:t xml:space="preserve"> </w:t>
      </w:r>
    </w:p>
    <w:p w:rsidR="000E0193" w:rsidRDefault="000E0193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0E0193" w:rsidRDefault="000E0193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0E0193" w:rsidRDefault="00AA161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ПОЛОЖЕНИЕ </w:t>
      </w:r>
    </w:p>
    <w:p w:rsidR="000E0193" w:rsidRDefault="00AA161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 РЕВИЗИОННОЙ КОМИССИИ</w:t>
      </w:r>
    </w:p>
    <w:p w:rsidR="000E0193" w:rsidRDefault="000E019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Настоящее Положение о Ревизионной комиссии Союза разработано в соответствии с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Уставом Союза.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Оно определяет: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статус, порядок назначения и прекращения полномочий Ревизионной комиссии.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компетенцию Ревизионной комиссии.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права и обязанности Ревизионной комиссии.</w:t>
      </w:r>
    </w:p>
    <w:p w:rsidR="000E0193" w:rsidRDefault="000E01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E0193" w:rsidRDefault="00AA161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СТАТУС, ПОРЯДОК НАЗНАЧЕНИЯ И ПРЕКРАЩЕНИЯ ПОЛНОМОЧИЙ</w:t>
      </w:r>
    </w:p>
    <w:p w:rsidR="000E0193" w:rsidRDefault="00AA161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РЕВИЗИОННОЙ КОМИССИИ СОЮЗА</w:t>
      </w:r>
    </w:p>
    <w:p w:rsidR="000E0193" w:rsidRDefault="000E01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 Ревизионная комиссия является постоянно действующим специализированным рабочим органом, осуществляющим контроль за организационной и финансово-хозяйственной деятельностью Союза.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 1.2. Ревизионная комиссия осуществляет свою деятельность на основании Устава, а также настоящего Положения.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1.3. Ревизионная комиссия подотчетна Общему собранию членов и Правлению Сююза.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1.4. Состав Ревизионной комиссии, в соответствии со ст. 6.3. Устава избирается Общим собранием членов Союза. Лицо может быть избрано членом Ревизионной комиссии неограниченное количество раз. Ревизионная комиссия избирается на 3 (три года) в составе не менее 3 (трех) и не более 7 (семи) членов Союза. Члены Ревизионной комиссии  могут быть переизбраны неограниченное количество раз.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1.5. Председатель Ревизионной комиссии избирается из числа членов Ревизионной комиссии простым большинством голосов. Председателем Ревизионной комиссии избирается лицо, обладающее профессиональными знаниями и опытом, а также деловыми и моральными качествами, необходимыми для осуществления руководства работой Ревизионной комиссией и обеспечения деятельности Ревизионной комиссии в соответствии с ее компетенцией.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1.6. Председатель и члены Ревизионной комиссии избираются из числа членов Союза. Членами Ревизионной комиссии не могут являться члены Правления Союза, Генеральный директор, руководители и члены специализированных органов, работники Союза.</w:t>
      </w:r>
    </w:p>
    <w:p w:rsidR="000E0193" w:rsidRDefault="000E01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1.7. Срок полномочий состава Ревизионной комиссии составляет три года с даты ее избрания, если иной срок полномочий не будет установлен Уставом членов Союза.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1.8. Полномочия Ревизионной комиссии, а также полномочия председателя, одного, нескольких или всех членов Ревизионной комиссии могут быть досрочно прекращены решением Общего собрания членов Союза.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1.9. При досрочном прекращении полномочий Председателя Ревизионной комиссии, если количественный состав действующих членов Ревизионной комиссии составляет не менее трех членов, новый Председатель Ревизионной комиссии избирается простым большинством голосов членов Ревизионной комиссии в течение 1 (одного) месяца со дня прекращения полномочий бывшего Председателя Ревизионной комиссии. Новый Председатель Ревизионной комиссии осуществляет свои полномочия до истечения срока полномочий текущего состава Ревизионной комиссии.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случае досрочного прекращения полномочий одного или нескольких членов Ревизионной комиссии, если количественный состав действующих членов составляет не менее трех членов, Ревизионная комиссия продолжает свою деятельность в этом составе до истечения срока своих полномочий.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прекращении полномочий всех членов Ревизионной комиссии или в случае, когда количественный состав Ревизионной комиссии составляет менее трех членов, вопрос об избрании нового состава Ревизионной комиссии выносится на Общее собрание членов Союза.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1.10. В своей деятельности Ревизионная комиссия руководствуется принципами независимости и объективности.</w:t>
      </w:r>
    </w:p>
    <w:p w:rsidR="000E0193" w:rsidRDefault="000E01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E0193" w:rsidRDefault="00AA161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КОМПЕТЕНЦИЯ РЕВИЗИОННОЙ КОМИССИИ СОЮЗА</w:t>
      </w:r>
    </w:p>
    <w:p w:rsidR="000E0193" w:rsidRDefault="000E01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 В компетенцию Ревизионной комиссии входит: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2.1.1. Ежегодная проверка отчета об исполнении сметы на предмет соответствия смете Союза, а также выявления возможных рисков в деятельности отдельных органов управления Союза;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2.1.2. Ежегодная проверка отчета об исполнении сметы Союза на предмет соответствия бухгалтерской документации;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2.1.3. Ежеквартальная проверка финансово-хозяйственной деятельности Союза;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2.1.4. В рамках проверки отчета об исполнении сметы, а также ежеквартальной проверки организационной и финансово-хозяйственной деятельности Союза – проверка бухгалтерской документации (отчетности) на предмет ее соответствия условиям сделок, совершенных Союзом, решениям, принятым органами управления, иными органами Союза;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2.1.5. Подготовка и представление Правлению и Общему собранию членов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Союза отчета Ревизионной комиссии по результатам проверки отчета об исполнении сметы;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2.1.6. Подготовка и представление Правлению Союза по результатам проверки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отчета об исполнении сметы Союза, рекомендаций по вопросам осуществления организационной и финансово-хозяйственной деятельности, а также о возможных рисках деятельности Союза;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2.1.7. Подготовка и представление Правлению отчета Ревизионной комиссии по результатам ежеквартальной проверки организационной и финансово-хозяйственной деятельности и рекомендаций в рамках ежеквартальных проверок.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 В компетенцию Ревизионной комиссии входит проверка решений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Общего собрания членов Союза, Правления, генерального директора, а также иных органов, оказывающих влияние на финансовый результат деятельности Союза, на предмет соответствия таковых решений или локальных нормативных правовых актов требованиям действующего законодательства Российской Федерации, а также законным интересам членов Союза.</w:t>
      </w:r>
    </w:p>
    <w:p w:rsidR="000E0193" w:rsidRDefault="000E01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E0193" w:rsidRDefault="00AA161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ПРАВА И ОБЯЗАННОСТИ РЕВИЗИОННОЙ КОМИССИИ.</w:t>
      </w:r>
    </w:p>
    <w:p w:rsidR="000E0193" w:rsidRDefault="000E01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 Ревизионная комиссия имеет право: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3.1.1. Требовать от органов и подразделений Союза предоставления информации и документов, необходимых для осуществления деятельности Ревизионной комиссии в соответствии с ее компетенцией.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3.1.2. Использовать в своей детальности информацию, полученную от органов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управления Союза, а также из открытых источников, в том числе, из источников, размещенных в сети Интернет.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3.1.3. При выявлении в деятельности отдельных органов управления Союза рисков, указанных в п. 4.3 настоящего Положения, Ревизионной комиссией могут быть запрошены дополнительные комментарии и разъяснения.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3.1.4. Ревизионная комиссия может формировать экспертное мнение относительно исполнения отдельных статей сметы Союза в части невыполнения или перевыполнения, с целью информирования заинтересованных лиц о возможных причинах соответствующего характера исполнения сметы.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 Ревизионная комиссия обязана: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3.2.1. Предоставлять отчет Правлению и Общему собранию членов Союза по результатам проведения проверок, предусмотренных настоящим Положением;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3.2.2. Предоставлять Правлению по результатам проверки рекомендации по вопросам осуществления организационной и финансово-хозяйственной деятельности Союза, а также информацию о выявлении рисков, указанных в п. 4.3 настоящего Положения;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3.2.3. Давать Общему собранию членов, Правлению, а также генеральному директору Союза письменные и устные разъяснения и рекомендации по отчету Ревизионной комиссии.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3.2.4. Ревизионная комиссия обязана иметь независимое мнение о деятельности Союза, в том числе: о рисках деятельности и внешней среде деятельности Союза.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3.3. Органы и подразделения Союза обязаны по требованию Ревизионной комиссии предоставлять имеющиеся у них документы и информацию, необходимые Ревизионной комиссии для осуществления полномочий в соответствии с ее компетенцией. В течение 10 дней с даты поступления такого требования, если иной срок предоставления не будет указан в требовании, а также обязаны принимать меры, направленные на исключение какого-либо давления на членов Ревизионной комиссии.</w:t>
      </w:r>
    </w:p>
    <w:p w:rsidR="000E0193" w:rsidRDefault="000E01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E0193" w:rsidRDefault="00AA161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ПОРЯДОК ДЕЯТЕЛЬНОСТИ РЕВИЗИОННОЙ КОМИССИИ СОЮЗА.</w:t>
      </w:r>
    </w:p>
    <w:p w:rsidR="000E0193" w:rsidRDefault="000E01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4.1. Основанием для начала работы Ревизионной комиссии, в соответствии с п. 2.1. настоящего Положения является соответствующее решение Председателя Ревизионной комиссии, которым определяется срок проверки, обеспечивающий предоставление </w:t>
      </w:r>
      <w:r>
        <w:rPr>
          <w:rFonts w:ascii="Times New Roman" w:eastAsia="Times New Roman" w:hAnsi="Times New Roman" w:cs="Times New Roman"/>
          <w:sz w:val="24"/>
        </w:rPr>
        <w:lastRenderedPageBreak/>
        <w:t>Общему собранию членов и (или) Правлению Союза соответствующего отчета Ревизионной комиссии. (п.п. 2.1.5- 2.1.7 настоящего Положения).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4.2. Организацию документооборота и систематизированного хранения документов Ревизионной комиссии осуществляет секретарь Ревизионной комиссии. Секретарем Ревизионной комиссии является работник Союза, назначаемый для выполнения указанных обязанностей генеральным директором Союза по согласованию с председателем Ревизионной комиссии.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4.3. Отчет, составляемый Ревизионной комиссией по результатам проверки, должен содержать следующие сведения и информацию: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 периоде проведения проверки и основаниях ее проведения (приказ, наступление срока очередной проверки и т.п.);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 составе членов Ревизионной комиссии, привлеченных к проведению проверки, а также основаниях их полномочий в качестве членов Ревизионной комиссии;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 основных документах и информации, которые были исследованы в ходе проведения проверки;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 дате составления отчета Ревизионной комиссии;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 выявленных нарушениях или об отсутствии таковых. При выявлении нарушений – информацию о конкретном нормативном акте или ином обязательном требовании, которое нарушено;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рекомендации Ревизионной комиссии о порядке устранения нарушений (в случае выявления нарушений);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 возможных рисках принимаемых в Союзе управленческих решений (репутационные риски, риски поглощения и т.п.), рекомендации о возможном устранении таких рисков;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 конкретных преимуществах Союза, а также его слабых сторонах в деятельности. Отчет должен быть подписан всеми членами Ревизионной комиссии, проводившими проверку.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Отчет может содержать особое мнение одного или нескольких членов Ревизионной комиссии (при наличии) по одному или нескольким вопросам, изложенным в отчете.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4.4. Заседания Ревизионной комиссии проводятся в количестве, определяемом Председателем Ревизионной комиссии Союза, но не реже, чем один раз в квартал.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4.5. Заседание Ревизионной комиссии является правомочным только в случае, если на нем присутствуют Председатель и не менее двух членов Ревизионной комиссии.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4.6. Решения принимаются Ревизионной комиссией простым большинством голосов. Голос Председателя Ревизионной комиссии является решающим.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Председатель или член Ревизионной комиссии в случае несогласия с принятым решением вправе письменно изложить свое мнение, которое прилагается к отчету Ревизионной комиссии и ее рекомендациям Союзу.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4.7. На заседании Ревизионной комиссии ведется протокол. Протокол заседания Ревизионной комиссии оформляется в течение 10 (десяти) дней после проведения заседания.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4.8. В протоколе заседания Ревизионной комиссии указываются: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место и время проведения заседания;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персональный состав лиц, участвующих в заседании;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вопросы, обсуждавшиеся на заседании Ревизионной комиссии;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основные положения выступлений присутствующих на заседании Ревизионной комиссии;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вопросы, поставленные на голосование и итоги голосования по ним;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решения, принятые Ревизионной комиссией.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Протокол заседания Ревизионной комиссии может содержать также другую необходимую информацию.</w:t>
      </w:r>
    </w:p>
    <w:p w:rsidR="000E0193" w:rsidRDefault="00AA16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4.9. Протокол заседания Ревизионной комиссии подписывается председателем и секретарем Ревизионной комиссии. Каждый член Ревизионной комиссии Союза вправе письменно изложить своё особое мнение, которое является приложением к отчету.</w:t>
      </w:r>
    </w:p>
    <w:p w:rsidR="000E0193" w:rsidRDefault="000E01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E0193" w:rsidRDefault="000E01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E0193" w:rsidRDefault="000E01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E0193" w:rsidRDefault="000E0193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0E0193" w:rsidRDefault="000E0193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0E0193" w:rsidRDefault="000E0193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0E0193" w:rsidRDefault="000E0193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0E0193" w:rsidRDefault="000E0193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0E0193" w:rsidRDefault="000E0193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0E0193" w:rsidRDefault="000E0193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0E0193" w:rsidRDefault="000E0193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0E0193" w:rsidRDefault="000E0193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0E0193" w:rsidRDefault="000E0193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0E0193" w:rsidRDefault="000E0193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0E0193" w:rsidRDefault="000E0193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0E0193" w:rsidRDefault="000E0193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0E0193" w:rsidRDefault="000E0193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0E0193" w:rsidRDefault="000E0193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0E0193" w:rsidRDefault="000E0193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0E0193" w:rsidRDefault="000E0193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0E0193" w:rsidRDefault="000E0193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0E0193" w:rsidRDefault="000E0193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0E0193" w:rsidRDefault="000E0193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0E0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0193"/>
    <w:rsid w:val="000E0193"/>
    <w:rsid w:val="006E1F78"/>
    <w:rsid w:val="00AA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F6DB2-8718-407F-9965-CC1E22D4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1634</Words>
  <Characters>9315</Characters>
  <Application>Microsoft Office Word</Application>
  <DocSecurity>0</DocSecurity>
  <Lines>77</Lines>
  <Paragraphs>21</Paragraphs>
  <ScaleCrop>false</ScaleCrop>
  <Company/>
  <LinksUpToDate>false</LinksUpToDate>
  <CharactersWithSpaces>10928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Арефьев</cp:lastModifiedBy>
  <cp:revision>3</cp:revision>
  <dcterms:created xsi:type="dcterms:W3CDTF">2020-05-22T06:06:00Z</dcterms:created>
  <dcterms:modified xsi:type="dcterms:W3CDTF">2020-05-25T10:20:00Z</dcterms:modified>
</cp:coreProperties>
</file>